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E45B" w14:textId="77777777" w:rsidR="00000000" w:rsidRDefault="00C37219">
      <w:pPr>
        <w:pStyle w:val="a00"/>
        <w:rPr>
          <w:lang w:val="ru-RU"/>
        </w:rPr>
      </w:pPr>
      <w:bookmarkStart w:id="0" w:name="a1"/>
      <w:bookmarkEnd w:id="0"/>
      <w:r>
        <w:rPr>
          <w:lang w:val="ru-RU"/>
        </w:rPr>
        <w:t> </w:t>
      </w:r>
    </w:p>
    <w:p w14:paraId="1CA7673B" w14:textId="77777777" w:rsidR="00000000" w:rsidRDefault="00C37219">
      <w:pPr>
        <w:shd w:val="clear" w:color="auto" w:fill="FFFFFF"/>
        <w:jc w:val="right"/>
        <w:divId w:val="401215189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 wp14:anchorId="1B067165" wp14:editId="6138FBF7">
            <wp:extent cx="304800" cy="304800"/>
            <wp:effectExtent l="0" t="0" r="0" b="0"/>
            <wp:docPr id="1" name="Рисунок 1" descr="Для всех отрас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всех отрасл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FF2B0" w14:textId="7A12147B" w:rsidR="00000000" w:rsidRDefault="00C37219">
      <w:pPr>
        <w:pStyle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Комментарий к </w:t>
      </w:r>
      <w:hyperlink r:id="rId5" w:anchor="a1" w:tooltip="+" w:history="1">
        <w:r>
          <w:rPr>
            <w:rStyle w:val="a3"/>
            <w:rFonts w:eastAsia="Times New Roman"/>
            <w:lang w:val="ru-RU"/>
          </w:rPr>
          <w:t>постановлению</w:t>
        </w:r>
      </w:hyperlink>
      <w:r>
        <w:rPr>
          <w:rFonts w:eastAsia="Times New Roman"/>
          <w:lang w:val="ru-RU"/>
        </w:rPr>
        <w:t xml:space="preserve"> Совета Министров Республики Беларусь и Национального банка Республики Беларусь от 14 мая 2022 г. № 304/12 «Об и</w:t>
      </w:r>
      <w:r>
        <w:rPr>
          <w:rFonts w:eastAsia="Times New Roman"/>
          <w:lang w:val="ru-RU"/>
        </w:rPr>
        <w:t>зменении постановления Совета Министров Республики Беларусь и Национального банка Республики Беларусь от 15 ноября 2021 г. № 647/11»</w:t>
      </w:r>
    </w:p>
    <w:p w14:paraId="137E22E1" w14:textId="77777777" w:rsidR="00000000" w:rsidRDefault="00C37219">
      <w:pPr>
        <w:shd w:val="clear" w:color="auto" w:fill="F4F4F4"/>
        <w:divId w:val="179859132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 wp14:anchorId="62272F7C" wp14:editId="14559273">
            <wp:extent cx="1143000" cy="1143000"/>
            <wp:effectExtent l="0" t="0" r="0" b="0"/>
            <wp:docPr id="2" name="Рисунок 2" descr="Интернет-рес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тернет-ресур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CDC84" w14:textId="77777777" w:rsidR="00000000" w:rsidRDefault="00C37219">
      <w:pPr>
        <w:pStyle w:val="author-name1"/>
        <w:shd w:val="clear" w:color="auto" w:fill="F4F4F4"/>
        <w:divId w:val="1118069454"/>
        <w:rPr>
          <w:lang w:val="ru-RU"/>
        </w:rPr>
      </w:pPr>
      <w:r>
        <w:rPr>
          <w:lang w:val="ru-RU"/>
        </w:rPr>
        <w:t xml:space="preserve">По материалам </w:t>
      </w:r>
      <w:hyperlink r:id="rId7" w:tgtFrame="_blank" w:tooltip="Ссылки на внешние интернет-ресурсы актуальны на дату написания материала" w:history="1">
        <w:r>
          <w:rPr>
            <w:rStyle w:val="a3"/>
            <w:lang w:val="ru-RU"/>
          </w:rPr>
          <w:t>сайта</w:t>
        </w:r>
      </w:hyperlink>
      <w:r>
        <w:rPr>
          <w:lang w:val="ru-RU"/>
        </w:rPr>
        <w:t xml:space="preserve"> МНС</w:t>
      </w:r>
    </w:p>
    <w:p w14:paraId="2D74986F" w14:textId="77777777" w:rsidR="00000000" w:rsidRDefault="00C37219">
      <w:pPr>
        <w:pStyle w:val="date1"/>
        <w:shd w:val="clear" w:color="auto" w:fill="F4F4F4"/>
        <w:divId w:val="508756060"/>
        <w:rPr>
          <w:lang w:val="ru-RU"/>
        </w:rPr>
      </w:pPr>
      <w:r>
        <w:rPr>
          <w:lang w:val="ru-RU"/>
        </w:rPr>
        <w:t>16.05.2022</w:t>
      </w:r>
    </w:p>
    <w:p w14:paraId="6D08A40D" w14:textId="5137E511" w:rsidR="00000000" w:rsidRDefault="00C37219">
      <w:pPr>
        <w:pStyle w:val="justify"/>
        <w:rPr>
          <w:lang w:val="ru-RU"/>
        </w:rPr>
      </w:pPr>
      <w:r>
        <w:rPr>
          <w:lang w:val="ru-RU"/>
        </w:rPr>
        <w:t>Советом Министров Республики Беларусь и Нац</w:t>
      </w:r>
      <w:r>
        <w:rPr>
          <w:lang w:val="ru-RU"/>
        </w:rPr>
        <w:t xml:space="preserve">иональным банком Республики Беларусь принято </w:t>
      </w:r>
      <w:hyperlink r:id="rId8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от 14 мая 2022 г. № 304/12 «Об изменении постановления Совета Министров Республики Беларусь и Национального банка Республики Беларусь от 15 ноября</w:t>
      </w:r>
      <w:r>
        <w:rPr>
          <w:lang w:val="ru-RU"/>
        </w:rPr>
        <w:t>»</w:t>
      </w:r>
      <w:r>
        <w:rPr>
          <w:lang w:val="ru-RU"/>
        </w:rPr>
        <w:t xml:space="preserve"> (далее - постановление № 304/12), предусматривающее продление срока обязательного использования субъектами хозяйствования кассового оборудования при приеме денежных средств при продаже продовольственных товаров на ярмарках, торговых местах.</w:t>
      </w:r>
    </w:p>
    <w:p w14:paraId="7F8A7CBB" w14:textId="6E8DF924" w:rsidR="00000000" w:rsidRDefault="00C37219">
      <w:pPr>
        <w:pStyle w:val="justify"/>
        <w:rPr>
          <w:lang w:val="ru-RU"/>
        </w:rPr>
      </w:pPr>
      <w:hyperlink r:id="rId9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№ 304/12 разработано во исполнение Комплексного плана по поддержке экономики в целях улучшения условий ведения субъектами хозяйствования экономической деятельности и недопущения сокращения задействованног</w:t>
      </w:r>
      <w:r>
        <w:rPr>
          <w:lang w:val="ru-RU"/>
        </w:rPr>
        <w:t>о экономического потенциала в республике.</w:t>
      </w:r>
    </w:p>
    <w:p w14:paraId="7EE0156E" w14:textId="0E798635" w:rsidR="00000000" w:rsidRDefault="00C37219">
      <w:pPr>
        <w:pStyle w:val="justify"/>
        <w:rPr>
          <w:lang w:val="ru-RU"/>
        </w:rPr>
      </w:pPr>
      <w:hyperlink r:id="rId10" w:anchor="a1" w:tooltip="+" w:history="1">
        <w:r>
          <w:rPr>
            <w:rStyle w:val="a3"/>
            <w:lang w:val="ru-RU"/>
          </w:rPr>
          <w:t>Постановлением</w:t>
        </w:r>
      </w:hyperlink>
      <w:r>
        <w:rPr>
          <w:lang w:val="ru-RU"/>
        </w:rPr>
        <w:t xml:space="preserve"> № 304/12 срок обязательного использования кассового оборудования для приема наличных денежных средств при осуществлении розничной торговли продоволь</w:t>
      </w:r>
      <w:r>
        <w:rPr>
          <w:lang w:val="ru-RU"/>
        </w:rPr>
        <w:t xml:space="preserve">ственными товарами, в том числе сельскохозяйственной продукцией, на ярмарках, торговых местах установлен </w:t>
      </w:r>
      <w:r>
        <w:rPr>
          <w:b/>
          <w:bCs/>
          <w:lang w:val="ru-RU"/>
        </w:rPr>
        <w:t>с 1 января 2023 года</w:t>
      </w:r>
      <w:r>
        <w:rPr>
          <w:lang w:val="ru-RU"/>
        </w:rPr>
        <w:t>.</w:t>
      </w:r>
    </w:p>
    <w:p w14:paraId="75A314C5" w14:textId="77777777" w:rsidR="00000000" w:rsidRDefault="00C37219">
      <w:pPr>
        <w:pStyle w:val="justify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 w14:paraId="00AF84E8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0C60B47E" w14:textId="77777777" w:rsidR="00000000" w:rsidRDefault="00C3721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31DFF68F" wp14:editId="780288F0">
                  <wp:extent cx="228600" cy="228600"/>
                  <wp:effectExtent l="0" t="0" r="0" b="0"/>
                  <wp:docPr id="3" name="Рисунок 3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74F9010A" w14:textId="77777777" w:rsidR="00000000" w:rsidRDefault="00C37219">
            <w:pPr>
              <w:pStyle w:val="primsit"/>
            </w:pPr>
            <w:proofErr w:type="spellStart"/>
            <w:r>
              <w:t>Справочно</w:t>
            </w:r>
            <w:proofErr w:type="spellEnd"/>
          </w:p>
          <w:p w14:paraId="0FA9D07A" w14:textId="7CC89DB7" w:rsidR="00000000" w:rsidRDefault="00C37219">
            <w:pPr>
              <w:pStyle w:val="insettext11"/>
            </w:pPr>
            <w:r>
              <w:t xml:space="preserve">Ранее такой срок был установлен </w:t>
            </w:r>
            <w:hyperlink r:id="rId12" w:anchor="a1" w:tooltip="+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Совета Министров Республики Беларусь и </w:t>
            </w:r>
            <w:r>
              <w:lastRenderedPageBreak/>
              <w:t>Национального банка Республики Беларусь от 15 ноября 2021 г. № </w:t>
            </w:r>
            <w:r>
              <w:t>647/11 - с 18 мая 2022 года.</w:t>
            </w:r>
          </w:p>
        </w:tc>
      </w:tr>
    </w:tbl>
    <w:p w14:paraId="688A6EAD" w14:textId="77777777" w:rsidR="00000000" w:rsidRDefault="00C37219">
      <w:pPr>
        <w:pStyle w:val="margt"/>
        <w:rPr>
          <w:lang w:val="ru-RU"/>
        </w:rPr>
      </w:pPr>
      <w:r>
        <w:rPr>
          <w:lang w:val="ru-RU"/>
        </w:rPr>
        <w:lastRenderedPageBreak/>
        <w:t> </w:t>
      </w:r>
    </w:p>
    <w:p w14:paraId="21C4DE1C" w14:textId="77777777" w:rsidR="00000000" w:rsidRDefault="00C37219">
      <w:pPr>
        <w:pStyle w:val="justify"/>
        <w:rPr>
          <w:lang w:val="ru-RU"/>
        </w:rPr>
      </w:pPr>
      <w:r>
        <w:rPr>
          <w:lang w:val="ru-RU"/>
        </w:rPr>
        <w:t>Таким образом, при осуществлении розничной торговли на ярмарках и торговых местах на рынке продовольственными товарами (включая сельскохозяйственную продукцию) прием наличных денежных средств до 31 декабря 2022 г. (включител</w:t>
      </w:r>
      <w:r>
        <w:rPr>
          <w:lang w:val="ru-RU"/>
        </w:rPr>
        <w:t>ьно) возможно осуществлять без применения кассового оборудования.</w:t>
      </w:r>
    </w:p>
    <w:p w14:paraId="18898F66" w14:textId="2D4348D0" w:rsidR="00000000" w:rsidRDefault="00C37219">
      <w:pPr>
        <w:pStyle w:val="justify"/>
        <w:rPr>
          <w:lang w:val="ru-RU"/>
        </w:rPr>
      </w:pPr>
      <w:r>
        <w:rPr>
          <w:lang w:val="ru-RU"/>
        </w:rPr>
        <w:t xml:space="preserve">В этом случае в соответствии с нормами </w:t>
      </w:r>
      <w:hyperlink r:id="rId13" w:anchor="a453" w:tooltip="+" w:history="1">
        <w:r>
          <w:rPr>
            <w:rStyle w:val="a3"/>
            <w:lang w:val="ru-RU"/>
          </w:rPr>
          <w:t>пункта 38</w:t>
        </w:r>
      </w:hyperlink>
      <w:r>
        <w:rPr>
          <w:lang w:val="ru-RU"/>
        </w:rPr>
        <w:t xml:space="preserve"> Положения об использовании кассового и иного оборудования при приеме средств платежа, </w:t>
      </w:r>
      <w:r>
        <w:rPr>
          <w:lang w:val="ru-RU"/>
        </w:rPr>
        <w:t>утвержденного постановлением Совета Министров Республики Беларусь и Национального банка Республики Беларусь от 6 июля 2011 г. № 924/16 «Об использовании кассового и иного оборудования при приеме средств платежа</w:t>
      </w:r>
      <w:r>
        <w:rPr>
          <w:lang w:val="ru-RU"/>
        </w:rPr>
        <w:t>»</w:t>
      </w:r>
      <w:r>
        <w:rPr>
          <w:lang w:val="ru-RU"/>
        </w:rPr>
        <w:t xml:space="preserve"> (далее - Положение № 924/16), прием наличных</w:t>
      </w:r>
      <w:r>
        <w:rPr>
          <w:lang w:val="ru-RU"/>
        </w:rPr>
        <w:t xml:space="preserve"> денежных средств осуществляется с отражением в приходных кассовых ордерах общей суммы выручки по окончании рабочего дня (смены), иного периода, определяемого субъектами хозяйствования, но не реже чем один раз в семь дней.</w:t>
      </w:r>
    </w:p>
    <w:p w14:paraId="704EEA82" w14:textId="67E5C7A3" w:rsidR="00000000" w:rsidRDefault="00C37219">
      <w:pPr>
        <w:pStyle w:val="justify"/>
        <w:rPr>
          <w:lang w:val="ru-RU"/>
        </w:rPr>
      </w:pPr>
      <w:r>
        <w:rPr>
          <w:lang w:val="ru-RU"/>
        </w:rPr>
        <w:t xml:space="preserve">Обращаем внимание, что в силу норм </w:t>
      </w:r>
      <w:hyperlink r:id="rId14" w:anchor="a434" w:tooltip="+" w:history="1">
        <w:r>
          <w:rPr>
            <w:rStyle w:val="a3"/>
            <w:lang w:val="ru-RU"/>
          </w:rPr>
          <w:t>пункта 41</w:t>
        </w:r>
      </w:hyperlink>
      <w:r>
        <w:rPr>
          <w:lang w:val="ru-RU"/>
        </w:rPr>
        <w:t xml:space="preserve"> Положения № 924/16 на субъекты хозяйствования, которые до 18 мая 2022 г. приобрели и используют кассовое оборудование со средством контроля налоговых органо</w:t>
      </w:r>
      <w:r>
        <w:rPr>
          <w:lang w:val="ru-RU"/>
        </w:rPr>
        <w:t xml:space="preserve">в или программную кассу при реализации продовольственных товаров на ярмарках, торговых местах, возможность осуществлять прием наличных денежных средств без применения кассового оборудования, предусмотренная </w:t>
      </w:r>
      <w:hyperlink r:id="rId15" w:anchor="a1" w:tooltip="+" w:history="1">
        <w:r>
          <w:rPr>
            <w:rStyle w:val="a3"/>
            <w:lang w:val="ru-RU"/>
          </w:rPr>
          <w:t>постановлением</w:t>
        </w:r>
      </w:hyperlink>
      <w:r>
        <w:rPr>
          <w:lang w:val="ru-RU"/>
        </w:rPr>
        <w:t xml:space="preserve"> № 304/12, не распространяется.</w:t>
      </w:r>
    </w:p>
    <w:p w14:paraId="1E876EBF" w14:textId="77777777" w:rsidR="00000000" w:rsidRDefault="00C37219">
      <w:pPr>
        <w:pStyle w:val="justify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 w14:paraId="35506362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4CB0500E" w14:textId="77777777" w:rsidR="00000000" w:rsidRDefault="00C3721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144C59D9" wp14:editId="501F9AA5">
                  <wp:extent cx="228600" cy="228600"/>
                  <wp:effectExtent l="0" t="0" r="0" b="0"/>
                  <wp:docPr id="4" name="Рисунок 4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22FC0B8B" w14:textId="77777777" w:rsidR="00000000" w:rsidRDefault="00C37219">
            <w:pPr>
              <w:pStyle w:val="primsit"/>
            </w:pPr>
            <w:proofErr w:type="spellStart"/>
            <w:r>
              <w:t>Справочно</w:t>
            </w:r>
            <w:proofErr w:type="spellEnd"/>
          </w:p>
          <w:p w14:paraId="3A53A0E6" w14:textId="6FD2AE6A" w:rsidR="00000000" w:rsidRDefault="00C37219">
            <w:pPr>
              <w:pStyle w:val="insettext11"/>
            </w:pPr>
            <w:hyperlink r:id="rId16" w:anchor="a434" w:tooltip="+" w:history="1">
              <w:r>
                <w:rPr>
                  <w:rStyle w:val="a3"/>
                </w:rPr>
                <w:t>Пунктом 41</w:t>
              </w:r>
            </w:hyperlink>
            <w:r>
              <w:t xml:space="preserve"> Положения № 924/16 определено, что субъекты хозяйствования вправе принимать наличные денежные средства при продаже товаров, выполнении</w:t>
            </w:r>
            <w:r>
              <w:t xml:space="preserve"> работ, оказании услуг без применения кассового оборудования в случаях, определенных в </w:t>
            </w:r>
            <w:hyperlink r:id="rId17" w:anchor="a288" w:tooltip="+" w:history="1">
              <w:r>
                <w:rPr>
                  <w:rStyle w:val="a3"/>
                </w:rPr>
                <w:t>пункте 35</w:t>
              </w:r>
            </w:hyperlink>
            <w:r>
              <w:t xml:space="preserve"> Положения № 924/16, при условии, если этими субъектами хозяйствования не используется кассовый аппарат с</w:t>
            </w:r>
            <w:r>
              <w:t xml:space="preserve"> установленным средством контроля налоговых органов, программная касса в случаях, перечисленных в </w:t>
            </w:r>
            <w:hyperlink r:id="rId18" w:anchor="a288" w:tooltip="+" w:history="1">
              <w:r>
                <w:rPr>
                  <w:rStyle w:val="a3"/>
                </w:rPr>
                <w:t>пункте 35</w:t>
              </w:r>
            </w:hyperlink>
            <w:r>
              <w:t xml:space="preserve"> Положения № 924/16.</w:t>
            </w:r>
          </w:p>
        </w:tc>
      </w:tr>
    </w:tbl>
    <w:p w14:paraId="6801798C" w14:textId="77777777" w:rsidR="00000000" w:rsidRDefault="00C37219">
      <w:pPr>
        <w:pStyle w:val="justify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 w14:paraId="210E3C02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1BA0CCA0" w14:textId="77777777" w:rsidR="00000000" w:rsidRDefault="00C3721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677C8A59" wp14:editId="2FD47371">
                  <wp:extent cx="228600" cy="228600"/>
                  <wp:effectExtent l="0" t="0" r="0" b="0"/>
                  <wp:docPr id="5" name="Рисунок 5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02D6C4A9" w14:textId="77777777" w:rsidR="00000000" w:rsidRDefault="00C37219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14:paraId="04433328" w14:textId="168F3E18" w:rsidR="00000000" w:rsidRDefault="00C37219">
            <w:pPr>
              <w:pStyle w:val="a0-justify"/>
            </w:pPr>
            <w:r>
              <w:t xml:space="preserve">• </w:t>
            </w:r>
            <w:hyperlink r:id="rId20" w:anchor="a1" w:tooltip="+" w:history="1">
              <w:r>
                <w:rPr>
                  <w:rStyle w:val="a3"/>
                </w:rPr>
                <w:t>Организация</w:t>
              </w:r>
            </w:hyperlink>
            <w:r>
              <w:t xml:space="preserve"> в июле 2022 </w:t>
            </w:r>
            <w:r>
              <w:t>г. арендовала на территории городского крытого рынка торговые места для реализации готовых мясных изделий. КСА организации к системе контроля кассового оборудования (СККО) не подключены и в процессе торговли не использовались, договор с РУП «Информационно-</w:t>
            </w:r>
            <w:r>
              <w:t>издательский центр по налогам и сборам» на установку СКНО заключен в 2021 году. Не нарушает ли организация законодательство при осуществлении торговли без КСА?</w:t>
            </w:r>
          </w:p>
        </w:tc>
      </w:tr>
    </w:tbl>
    <w:p w14:paraId="3A20E538" w14:textId="77777777" w:rsidR="00000000" w:rsidRDefault="00C37219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BA"/>
    <w:rsid w:val="00C37219"/>
    <w:rsid w:val="00F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34E1"/>
  <w15:docId w15:val="{A3CF1FE5-FEB3-447D-B0E8-795A389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line="240" w:lineRule="auto"/>
      <w:jc w:val="both"/>
    </w:pPr>
    <w:rPr>
      <w:rFonts w:ascii="Arial" w:hAnsi="Arial" w:cs="Arial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1518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060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11180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13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578842&amp;a=1" TargetMode="External"/><Relationship Id="rId13" Type="http://schemas.openxmlformats.org/officeDocument/2006/relationships/hyperlink" Target="file:///C:\Users\&#1055;&#1086;&#1083;&#1100;&#1079;&#1086;&#1074;&#1072;&#1090;&#1077;&#1083;&#1100;\Downloads\tx.dll%3fd=216371&amp;a=453" TargetMode="External"/><Relationship Id="rId18" Type="http://schemas.openxmlformats.org/officeDocument/2006/relationships/hyperlink" Target="file:///C:\Users\&#1055;&#1086;&#1083;&#1100;&#1079;&#1086;&#1074;&#1072;&#1090;&#1077;&#1083;&#1100;\Downloads\tx.dll%3fd=216371&amp;a=28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alog.gov.by/" TargetMode="External"/><Relationship Id="rId12" Type="http://schemas.openxmlformats.org/officeDocument/2006/relationships/hyperlink" Target="file:///C:\Users\&#1055;&#1086;&#1083;&#1100;&#1079;&#1086;&#1074;&#1072;&#1090;&#1077;&#1083;&#1100;\Downloads\tx.dll%3fd=470009&amp;a=1" TargetMode="External"/><Relationship Id="rId17" Type="http://schemas.openxmlformats.org/officeDocument/2006/relationships/hyperlink" Target="file:///C:\Users\&#1055;&#1086;&#1083;&#1100;&#1079;&#1086;&#1074;&#1072;&#1090;&#1077;&#1083;&#1100;\Downloads\tx.dll%3fd=216371&amp;a=288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216371&amp;a=434" TargetMode="External"/><Relationship Id="rId20" Type="http://schemas.openxmlformats.org/officeDocument/2006/relationships/hyperlink" Target="file:///C:\Users\&#1055;&#1086;&#1083;&#1100;&#1079;&#1086;&#1074;&#1072;&#1090;&#1077;&#1083;&#1100;\Downloads\tx.dll%3fd=609739&amp;a=1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hyperlink" Target="file:///C:\Users\&#1055;&#1086;&#1083;&#1100;&#1079;&#1086;&#1074;&#1072;&#1090;&#1077;&#1083;&#1100;\Downloads\tx.dll%3fd=578842&amp;a=1" TargetMode="External"/><Relationship Id="rId15" Type="http://schemas.openxmlformats.org/officeDocument/2006/relationships/hyperlink" Target="file:///C:\Users\&#1055;&#1086;&#1083;&#1100;&#1079;&#1086;&#1074;&#1072;&#1090;&#1077;&#1083;&#1100;\Downloads\tx.dll%3fd=578842&amp;a=1" TargetMode="External"/><Relationship Id="rId10" Type="http://schemas.openxmlformats.org/officeDocument/2006/relationships/hyperlink" Target="file:///C:\Users\&#1055;&#1086;&#1083;&#1100;&#1079;&#1086;&#1074;&#1072;&#1090;&#1077;&#1083;&#1100;\Downloads\tx.dll%3fd=578842&amp;a=1" TargetMode="External"/><Relationship Id="rId19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file:///C:\Users\&#1055;&#1086;&#1083;&#1100;&#1079;&#1086;&#1074;&#1072;&#1090;&#1077;&#1083;&#1100;\Downloads\tx.dll%3fd=578842&amp;a=1" TargetMode="External"/><Relationship Id="rId14" Type="http://schemas.openxmlformats.org/officeDocument/2006/relationships/hyperlink" Target="file:///C:\Users\&#1055;&#1086;&#1083;&#1100;&#1079;&#1086;&#1074;&#1072;&#1090;&#1077;&#1083;&#1100;\Downloads\tx.dll%3fd=216371&amp;a=4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2022-12-01T07:51:00Z</dcterms:created>
  <dcterms:modified xsi:type="dcterms:W3CDTF">2022-12-01T07:51:00Z</dcterms:modified>
</cp:coreProperties>
</file>