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77" w:rsidRDefault="00E42C77" w:rsidP="00E42C77">
      <w:pPr>
        <w:pStyle w:val="nonumheader"/>
      </w:pPr>
      <w:r>
        <w:t xml:space="preserve">ПЛАНИРОВАНИЕ </w:t>
      </w:r>
      <w:r w:rsidR="00B4176D">
        <w:t>И УЧЕТ</w:t>
      </w:r>
      <w:r>
        <w:t xml:space="preserve"> ВНЕБЮДЖЕТНЫ</w:t>
      </w:r>
      <w:bookmarkStart w:id="0" w:name="_GoBack"/>
      <w:bookmarkEnd w:id="0"/>
      <w:r>
        <w:t>Х СРЕДСТВ</w:t>
      </w:r>
    </w:p>
    <w:p w:rsidR="00B4176D" w:rsidRDefault="00B4176D" w:rsidP="00E42C77">
      <w:pPr>
        <w:pStyle w:val="nonumheader"/>
      </w:pPr>
      <w:r>
        <w:t>В ВОПРОСАХ И ОТВЕТАХ</w:t>
      </w:r>
    </w:p>
    <w:p w:rsidR="00590D3F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Какие данные необходимо указывать при формировании сметы доходов и расходов внебюджетных средств бюджетных организаций остаток средств на 1 января текущего года по графе «Утверждено на год»: данные из формы № 4 «Отчет об исполнении сметы доходов и расходов средств от приносящей доходы деятельности бюджетной организации» строки 066 графы «Исполнено по банковскому счету» или «Фактически исполнено»?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Необходимо ли остаток средств на 1 января текущего года разбивать по кварталам так, как предусмотрено приложением 3 к Инструкции о порядке составления, рассмотрения и утверждения бюджетных смет, смет доходов и расходов внебюджетных средств бюджетных организаций, утвержденной постановлением Минфина от 30.01.2009 № 8 (далее – Инструкция № 8)?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</w:rPr>
        <w:t>ОТВЕТ.</w:t>
      </w:r>
    </w:p>
    <w:p w:rsidR="00B4176D" w:rsidRDefault="00B4176D">
      <w:pPr>
        <w:pStyle w:val="newncpi"/>
      </w:pPr>
      <w:r>
        <w:t>В соответствии с требованиями п. 22 Инструкции № 8 смета доходов и расходов внебюджетных средств состоит из доходной и расходной частей.</w:t>
      </w:r>
    </w:p>
    <w:p w:rsidR="00B4176D" w:rsidRDefault="00B4176D">
      <w:pPr>
        <w:pStyle w:val="newncpi"/>
      </w:pPr>
      <w:r>
        <w:t>В доходную часть данной сметы включаются планируемые к получению бюджетной организацией поступления внебюджетных средств по соответствующему разделу и подразделу доходов классификации доходов в соответствующем финансовом году и остатки средств по данному источнику доходов на начало года с их поквартальным распределением.</w:t>
      </w:r>
    </w:p>
    <w:p w:rsidR="00B4176D" w:rsidRDefault="00B4176D">
      <w:pPr>
        <w:pStyle w:val="newncpi"/>
      </w:pPr>
      <w:r>
        <w:t>Следовательно, при формировании сметы доходов и расходов внебюджетных средств бюджетных организаций остаток средств на 1 января текущего года по графе «Утверждено на год» необходимо указывать данные из формы № 4 строки 066 графы «Исполнено по банковскому счету». Далее этот остаток нужно разбивать поквартально так, как предусмотрено формой сметы разбивкой и в соответствии с действующим законодательством.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Как правильно рассчитать пропорцию распределения косвенных расходов, которая исчисляется согласно части третьей п. 18 Положения о порядке формирования внебюджетных средств, осуществления расходов, связанных с приносящей доходы деятельностью, направления и порядок использования средств, остающихся в распоряжении бюджетной организации, утвержденного постановлением Совета Министров от 19.07.2013 № 641 (далее – Положение № 641)? А именно: необходимо ли при определении общей суммы поступлений внебюджетных средств за предыдущий год включать суммы доходов (арендная плата, операции по сдаче вторичных материальных ресурсов, проценты банка и проценты банка от депозитов), по которым расходов не имеется либо имеются в незначительных размерах?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</w:rPr>
        <w:t>ОТВЕТ.</w:t>
      </w:r>
    </w:p>
    <w:p w:rsidR="00BC776A" w:rsidRPr="00BC776A" w:rsidRDefault="00B4176D" w:rsidP="00EA4287">
      <w:pPr>
        <w:pStyle w:val="newncpi"/>
      </w:pPr>
      <w:r>
        <w:t>Для определения пропорции согласно норме части третьей п. 18 Положения № 641 в сумме поступлений внебюджетных средств учитываются все поступления внебюджетных средств за предыдущий финансовый год (п. 18 Положения № 641).</w:t>
      </w:r>
      <w:r w:rsidR="00BC776A" w:rsidRPr="00BC776A">
        <w:rPr>
          <w:rFonts w:eastAsia="Times New Roman"/>
          <w:caps/>
        </w:rPr>
        <w:t xml:space="preserve"> </w:t>
      </w:r>
    </w:p>
    <w:p w:rsidR="00BC776A" w:rsidRPr="00BC776A" w:rsidRDefault="00BC776A" w:rsidP="00BC776A">
      <w:pPr>
        <w:pStyle w:val="newncpi"/>
      </w:pPr>
      <w:r w:rsidRPr="00BC776A">
        <w:t> Порядок распределения расходов по приносящей доходы деятельности устанавливается в учетной политике бюджетной организации.</w:t>
      </w:r>
    </w:p>
    <w:p w:rsidR="00B4176D" w:rsidRDefault="00B4176D">
      <w:pPr>
        <w:pStyle w:val="newncpi"/>
      </w:pPr>
    </w:p>
    <w:p w:rsidR="00B4176D" w:rsidRDefault="00B4176D">
      <w:pPr>
        <w:pStyle w:val="newncpi"/>
      </w:pPr>
      <w:r>
        <w:rPr>
          <w:b/>
          <w:bCs/>
          <w:i/>
          <w:iCs/>
        </w:rPr>
        <w:lastRenderedPageBreak/>
        <w:t>Бюджетная организация списала оборудование (далее – ОС), которое было закуплено за счет бюджетных средств. От списания ОС за сдачу лома, черных и цветных металлов бюджетной организации перечислены денежные средства.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Считаются ли такие денежные средства доходом от приносящей доходы деятельности, если они носят разовый характер?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Необходимо ли в таком случае составить смету доходов и расходов либо можно денежные средства перечислить полностью в доход бюджета?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Если денежные средства в бухгалтерском учете отражены как доходы от приносящей доходы деятельности, какие расходы может производить организация в соответствии с действующим законодательством?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</w:rPr>
        <w:t>ОТВЕТ.</w:t>
      </w:r>
    </w:p>
    <w:p w:rsidR="00B4176D" w:rsidRDefault="00B4176D">
      <w:pPr>
        <w:pStyle w:val="newncpi"/>
      </w:pPr>
      <w:r>
        <w:t>В соответствии с положениями подп. 7.1 п. 7 Положения № 641 денежные средства, поступившие за сдачу вторсырья, лома и драгоценных металлов, считаются доходом от приносящей доходы деятельности и сметы составлять нужно.</w:t>
      </w:r>
    </w:p>
    <w:p w:rsidR="00B4176D" w:rsidRDefault="00B4176D">
      <w:pPr>
        <w:pStyle w:val="newncpi"/>
      </w:pPr>
      <w:r>
        <w:t>После уплаты всех необходимых налогов денежные средства остаются в распоряжении бюджетной организации.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Может ли учреждение образования при возмещении в бюджет косвенных расходов от оказания платных образовательных услуг руководствоваться нормами части третьей п. 18 Положения № 641?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</w:rPr>
        <w:t>ОТВЕТ.</w:t>
      </w:r>
    </w:p>
    <w:p w:rsidR="00B4176D" w:rsidRDefault="00B4176D">
      <w:pPr>
        <w:pStyle w:val="newncpi"/>
      </w:pPr>
      <w:r>
        <w:t>Может, если вид деятельности не является аналогичной виду деятельности, финансируемой за счет средств бюджета основной деятельности. При оказании других видов услуг может руководствоваться нормами части третьей п. 18 Положения № 641 при возмещении в бюджет косвенных расходов.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Может ли организация использовать в практике два вида пропорции при возмещении косвенных расходов (п. 18 Положения № 641)?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</w:rPr>
        <w:t>ОТВЕТ.</w:t>
      </w:r>
    </w:p>
    <w:p w:rsidR="00B4176D" w:rsidRDefault="00B4176D">
      <w:pPr>
        <w:pStyle w:val="newncpi"/>
      </w:pPr>
      <w:r>
        <w:t>Да, может.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Нормами п. 29 Инструкции № 8 предусмотрен порядок уточнения смет. Необходимо ли уточненную смету утверждать в вышестоящей организации? Если да, то с какой периодичностью?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</w:rPr>
        <w:t>ОТВЕТ.</w:t>
      </w:r>
    </w:p>
    <w:p w:rsidR="00B4176D" w:rsidRDefault="00B4176D">
      <w:pPr>
        <w:pStyle w:val="newncpi"/>
      </w:pPr>
      <w:r>
        <w:t>Да, смету нужно утверждать в вышестоящей организации.</w:t>
      </w:r>
    </w:p>
    <w:p w:rsidR="00B4176D" w:rsidRDefault="00B4176D">
      <w:pPr>
        <w:pStyle w:val="newncpi"/>
      </w:pPr>
      <w:r>
        <w:t>В соответствии с нормами п. 27 Инструкции № 8 сметы доходов и расходов внебюджетных средств утверждаются в сроки, установленные для утверждения бюджетных смет.</w:t>
      </w:r>
    </w:p>
    <w:p w:rsidR="00B4176D" w:rsidRDefault="00B4176D">
      <w:pPr>
        <w:pStyle w:val="newncpi"/>
      </w:pPr>
      <w:r>
        <w:t>Утверждение смет доходов и расходов внебюджетных средств скрепляется подписью руководителя государственного органа (его территориального органа), государственной организации и оттиском печати распорядителя бюджетных средств по подчиненности с датой утверждения на всех экземплярах смет доходов и расходов внебюджетных средств с одновременным указанием в верхнем правом углу общей суммы доходов с учетом остатка (графа 4 строки 4 сметы доходов и расходов внебюджетных средств).</w:t>
      </w:r>
    </w:p>
    <w:p w:rsidR="00B4176D" w:rsidRDefault="00B4176D">
      <w:pPr>
        <w:pStyle w:val="newncpi"/>
      </w:pPr>
      <w:r>
        <w:lastRenderedPageBreak/>
        <w:t>После утверждения смет доходов и расходов внебюджетных средств один экземпляр возвращается бюджетной организации, второй – остается у распорядителя бюджетных средств.</w:t>
      </w:r>
    </w:p>
    <w:p w:rsidR="00B4176D" w:rsidRDefault="00B4176D">
      <w:pPr>
        <w:pStyle w:val="newncpi"/>
      </w:pPr>
      <w:r>
        <w:t xml:space="preserve">В соответствии с нормами п. 29 Инструкции № 8 изменения и (или) дополнения в сметы доходов и расходов внебюджетных средств бюджетных организаций вносятся </w:t>
      </w:r>
      <w:r w:rsidRPr="00C412C2">
        <w:rPr>
          <w:b/>
        </w:rPr>
        <w:t>не</w:t>
      </w:r>
      <w:r>
        <w:t xml:space="preserve"> </w:t>
      </w:r>
      <w:r w:rsidRPr="00C412C2">
        <w:rPr>
          <w:b/>
        </w:rPr>
        <w:t>чаще одного раза в квартал</w:t>
      </w:r>
      <w:r>
        <w:t xml:space="preserve"> в случае изменения объема доходов и (или) расходов внебюджетных средств бюджетных организаций, в т.ч. при изменении показателей осуществления приносящей доходы деятельности, установлении новых цен (тарифов) на товары (работы, услуги) путем составления уточненных смет доходов и расходов внебюджетных средств бюджетных организаций и их утверждения в порядке, установленном главой 3 Инструкции № 8.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  <w:i/>
          <w:iCs/>
        </w:rPr>
        <w:t>Каков порядок определения финансового результата по внебеюджетной деятельности?</w:t>
      </w:r>
    </w:p>
    <w:p w:rsidR="00B4176D" w:rsidRDefault="00B4176D">
      <w:pPr>
        <w:pStyle w:val="newncpi"/>
      </w:pPr>
      <w:r>
        <w:t> </w:t>
      </w:r>
    </w:p>
    <w:p w:rsidR="00B4176D" w:rsidRDefault="00B4176D">
      <w:pPr>
        <w:pStyle w:val="newncpi"/>
      </w:pPr>
      <w:r>
        <w:rPr>
          <w:b/>
          <w:bCs/>
        </w:rPr>
        <w:t>ОТВЕТ.</w:t>
      </w:r>
    </w:p>
    <w:p w:rsidR="00B4176D" w:rsidRDefault="00B4176D">
      <w:pPr>
        <w:pStyle w:val="newncpi"/>
      </w:pPr>
      <w:r>
        <w:t>Превышение доходов над расходами по внебюджетным средствам подлежит налогообложению в соответствии с действующим законодательством. После уплаты налога на прибыль и других обязательных платежей определяется сумма, остающаяся в распоряжении организации. Данная сумма используется в соответствии с Положением по внебюджетной деятельности, которое разрабатывается организациями в соответствии с нормами Положения № 641.</w:t>
      </w:r>
    </w:p>
    <w:p w:rsidR="00E42C77" w:rsidRDefault="00E42C77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E42C77" w:rsidTr="000302DD">
        <w:trPr>
          <w:trHeight w:val="238"/>
        </w:trPr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C77" w:rsidRPr="00E42C77" w:rsidRDefault="00E42C77" w:rsidP="000302DD">
            <w:pPr>
              <w:pStyle w:val="newncpi0"/>
              <w:jc w:val="left"/>
            </w:pPr>
            <w:r w:rsidRPr="00E42C77">
              <w:t> </w:t>
            </w:r>
          </w:p>
        </w:tc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2C77" w:rsidRDefault="00E42C77" w:rsidP="00E42C77">
            <w:pPr>
              <w:pStyle w:val="newncpi0"/>
              <w:jc w:val="left"/>
            </w:pPr>
            <w:r w:rsidRPr="00E42C77">
              <w:t>Материал подготовлен</w:t>
            </w:r>
            <w:r w:rsidRPr="00E42C77">
              <w:br/>
              <w:t>с использованием нормативных</w:t>
            </w:r>
            <w:r w:rsidRPr="00E42C77">
              <w:br/>
              <w:t>правовых актов</w:t>
            </w:r>
            <w:r>
              <w:t xml:space="preserve"> </w:t>
            </w:r>
          </w:p>
        </w:tc>
      </w:tr>
    </w:tbl>
    <w:p w:rsidR="00E42C77" w:rsidRDefault="00E42C77" w:rsidP="00E42C77">
      <w:pPr>
        <w:pStyle w:val="newncpi"/>
      </w:pPr>
      <w:r>
        <w:t> </w:t>
      </w:r>
    </w:p>
    <w:p w:rsidR="0083556B" w:rsidRDefault="0083556B"/>
    <w:sectPr w:rsidR="0083556B" w:rsidSect="00B4176D">
      <w:headerReference w:type="even" r:id="rId6"/>
      <w:pgSz w:w="11906" w:h="16838"/>
      <w:pgMar w:top="1134" w:right="850" w:bottom="1134" w:left="1700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D4" w:rsidRDefault="00202FD4" w:rsidP="00B4176D">
      <w:pPr>
        <w:spacing w:after="0" w:line="240" w:lineRule="auto"/>
      </w:pPr>
      <w:r>
        <w:separator/>
      </w:r>
    </w:p>
  </w:endnote>
  <w:endnote w:type="continuationSeparator" w:id="0">
    <w:p w:rsidR="00202FD4" w:rsidRDefault="00202FD4" w:rsidP="00B4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D4" w:rsidRDefault="00202FD4" w:rsidP="00B4176D">
      <w:pPr>
        <w:spacing w:after="0" w:line="240" w:lineRule="auto"/>
      </w:pPr>
      <w:r>
        <w:separator/>
      </w:r>
    </w:p>
  </w:footnote>
  <w:footnote w:type="continuationSeparator" w:id="0">
    <w:p w:rsidR="00202FD4" w:rsidRDefault="00202FD4" w:rsidP="00B4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6D" w:rsidRDefault="00B4176D" w:rsidP="002D10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B4176D" w:rsidRDefault="00B417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6D"/>
    <w:rsid w:val="000D3751"/>
    <w:rsid w:val="00202FD4"/>
    <w:rsid w:val="002E6B6E"/>
    <w:rsid w:val="004C0758"/>
    <w:rsid w:val="00590D3F"/>
    <w:rsid w:val="0083556B"/>
    <w:rsid w:val="00B4176D"/>
    <w:rsid w:val="00BC776A"/>
    <w:rsid w:val="00C412C2"/>
    <w:rsid w:val="00E42C77"/>
    <w:rsid w:val="00EA4287"/>
    <w:rsid w:val="00F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93361"/>
  <w15:chartTrackingRefBased/>
  <w15:docId w15:val="{9CFC1389-E185-42BC-8084-E3D7A4C2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B4176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B4176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onumheader">
    <w:name w:val="nonumheader"/>
    <w:basedOn w:val="a"/>
    <w:rsid w:val="00B4176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B417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417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4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76D"/>
  </w:style>
  <w:style w:type="paragraph" w:styleId="a5">
    <w:name w:val="footer"/>
    <w:basedOn w:val="a"/>
    <w:link w:val="a6"/>
    <w:uiPriority w:val="99"/>
    <w:unhideWhenUsed/>
    <w:rsid w:val="00B4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76D"/>
  </w:style>
  <w:style w:type="character" w:styleId="a7">
    <w:name w:val="page number"/>
    <w:basedOn w:val="a0"/>
    <w:uiPriority w:val="99"/>
    <w:semiHidden/>
    <w:unhideWhenUsed/>
    <w:rsid w:val="00B4176D"/>
  </w:style>
  <w:style w:type="table" w:styleId="a8">
    <w:name w:val="Table Grid"/>
    <w:basedOn w:val="a1"/>
    <w:uiPriority w:val="39"/>
    <w:rsid w:val="00B4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Елена Викторовна</dc:creator>
  <cp:keywords/>
  <dc:description/>
  <cp:lastModifiedBy>Лебедева Оксана Ивановна</cp:lastModifiedBy>
  <cp:revision>6</cp:revision>
  <dcterms:created xsi:type="dcterms:W3CDTF">2022-05-05T13:08:00Z</dcterms:created>
  <dcterms:modified xsi:type="dcterms:W3CDTF">2022-05-06T13:03:00Z</dcterms:modified>
</cp:coreProperties>
</file>