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F44BF" w14:textId="77777777" w:rsidR="004D7105" w:rsidRPr="00086604" w:rsidRDefault="00F375EF">
      <w:pPr>
        <w:jc w:val="center"/>
        <w:rPr>
          <w:b/>
          <w:bCs/>
          <w:sz w:val="28"/>
          <w:szCs w:val="28"/>
        </w:rPr>
      </w:pPr>
      <w:r w:rsidRPr="00086604">
        <w:rPr>
          <w:b/>
          <w:bCs/>
          <w:sz w:val="28"/>
          <w:szCs w:val="28"/>
        </w:rPr>
        <w:t>Предварительное информирование юридических и физических лиц,</w:t>
      </w:r>
    </w:p>
    <w:p w14:paraId="4D8CAA28" w14:textId="5B980F29" w:rsidR="004D7105" w:rsidRDefault="00F375EF" w:rsidP="00086604">
      <w:pPr>
        <w:jc w:val="center"/>
        <w:rPr>
          <w:b/>
          <w:bCs/>
          <w:sz w:val="28"/>
          <w:szCs w:val="28"/>
        </w:rPr>
      </w:pPr>
      <w:r w:rsidRPr="00086604">
        <w:rPr>
          <w:b/>
          <w:bCs/>
          <w:sz w:val="28"/>
          <w:szCs w:val="28"/>
        </w:rPr>
        <w:t>в том числе индивидуальных предпринимателей</w:t>
      </w:r>
      <w:r w:rsidR="0043652F" w:rsidRPr="0043652F">
        <w:rPr>
          <w:b/>
          <w:bCs/>
          <w:sz w:val="28"/>
          <w:szCs w:val="28"/>
        </w:rPr>
        <w:t xml:space="preserve"> </w:t>
      </w:r>
      <w:r w:rsidRPr="00086604">
        <w:rPr>
          <w:b/>
          <w:bCs/>
          <w:sz w:val="28"/>
          <w:szCs w:val="28"/>
        </w:rPr>
        <w:t>о</w:t>
      </w:r>
      <w:r w:rsidR="00086604" w:rsidRPr="00086604">
        <w:rPr>
          <w:b/>
          <w:bCs/>
          <w:sz w:val="28"/>
          <w:szCs w:val="28"/>
        </w:rPr>
        <w:t xml:space="preserve"> планируемой хозяйс</w:t>
      </w:r>
      <w:r>
        <w:rPr>
          <w:b/>
          <w:bCs/>
          <w:sz w:val="28"/>
          <w:szCs w:val="28"/>
        </w:rPr>
        <w:t xml:space="preserve">твенной и иной деятельности по </w:t>
      </w:r>
      <w:bookmarkStart w:id="0" w:name="_GoBack"/>
      <w:bookmarkEnd w:id="0"/>
      <w:r w:rsidRPr="00086604">
        <w:rPr>
          <w:b/>
          <w:bCs/>
          <w:sz w:val="28"/>
          <w:szCs w:val="28"/>
        </w:rPr>
        <w:t>объекту</w:t>
      </w:r>
    </w:p>
    <w:p w14:paraId="2C049C88" w14:textId="77777777" w:rsidR="00086604" w:rsidRPr="00086604" w:rsidRDefault="00086604" w:rsidP="00086604">
      <w:pPr>
        <w:jc w:val="center"/>
        <w:rPr>
          <w:b/>
          <w:bCs/>
          <w:sz w:val="28"/>
          <w:szCs w:val="28"/>
        </w:rPr>
      </w:pPr>
    </w:p>
    <w:p w14:paraId="2868974D" w14:textId="77777777" w:rsidR="004D7105" w:rsidRPr="00086604" w:rsidRDefault="00F375EF">
      <w:pPr>
        <w:jc w:val="center"/>
        <w:rPr>
          <w:b/>
          <w:bCs/>
          <w:sz w:val="32"/>
          <w:szCs w:val="32"/>
        </w:rPr>
      </w:pPr>
      <w:r w:rsidRPr="00086604">
        <w:rPr>
          <w:b/>
          <w:bCs/>
          <w:spacing w:val="4"/>
          <w:sz w:val="32"/>
          <w:szCs w:val="32"/>
        </w:rPr>
        <w:t>«Возведение площадей для добычи торфа на торфяном месторождении «Сидень»</w:t>
      </w:r>
    </w:p>
    <w:p w14:paraId="4F81257C" w14:textId="77777777" w:rsidR="004D7105" w:rsidRDefault="004D7105">
      <w:pPr>
        <w:ind w:firstLine="709"/>
        <w:jc w:val="center"/>
        <w:rPr>
          <w:b/>
          <w:sz w:val="18"/>
          <w:szCs w:val="18"/>
        </w:rPr>
      </w:pPr>
    </w:p>
    <w:p w14:paraId="2887EEF3" w14:textId="48043668" w:rsidR="004D7105" w:rsidRDefault="00F375EF">
      <w:pPr>
        <w:spacing w:after="80"/>
        <w:ind w:firstLine="709"/>
        <w:jc w:val="center"/>
        <w:rPr>
          <w:b/>
        </w:rPr>
      </w:pPr>
      <w:r>
        <w:rPr>
          <w:b/>
        </w:rPr>
        <w:t xml:space="preserve">График работ </w:t>
      </w:r>
      <w:r>
        <w:rPr>
          <w:b/>
        </w:rPr>
        <w:t>по проведению</w:t>
      </w:r>
      <w:r w:rsidR="00086604">
        <w:rPr>
          <w:b/>
        </w:rPr>
        <w:t xml:space="preserve"> оценки воздействия на окружающую среду (</w:t>
      </w:r>
      <w:r>
        <w:rPr>
          <w:b/>
        </w:rPr>
        <w:t>ОВОС</w:t>
      </w:r>
      <w:r w:rsidR="00086604">
        <w:rPr>
          <w:b/>
        </w:rPr>
        <w:t>)</w:t>
      </w:r>
    </w:p>
    <w:tbl>
      <w:tblPr>
        <w:tblW w:w="49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2"/>
        <w:gridCol w:w="4042"/>
      </w:tblGrid>
      <w:tr w:rsidR="004D7105" w14:paraId="0AC1EBCC" w14:textId="77777777">
        <w:trPr>
          <w:cantSplit/>
          <w:trHeight w:val="396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1E69F25" w14:textId="77777777" w:rsidR="004D7105" w:rsidRDefault="00F375E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Наименование работ 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7741122" w14:textId="77777777" w:rsidR="004D7105" w:rsidRDefault="00F375E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Сроки выполнения</w:t>
            </w:r>
          </w:p>
        </w:tc>
      </w:tr>
      <w:tr w:rsidR="004D7105" w14:paraId="0FE263AB" w14:textId="77777777">
        <w:trPr>
          <w:cantSplit/>
          <w:trHeight w:val="396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C7F9C2F" w14:textId="77777777" w:rsidR="004D7105" w:rsidRDefault="00F375EF">
            <w:pPr>
              <w:pStyle w:val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программы проведения ОВОС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9792AA" w14:textId="77777777" w:rsidR="004D7105" w:rsidRDefault="00F375EF">
            <w:pPr>
              <w:jc w:val="center"/>
            </w:pPr>
            <w:r>
              <w:t>с 21.10.2024 по 06.12.2024 г.</w:t>
            </w:r>
          </w:p>
        </w:tc>
      </w:tr>
      <w:tr w:rsidR="004D7105" w14:paraId="5AF8F829" w14:textId="77777777">
        <w:trPr>
          <w:cantSplit/>
          <w:trHeight w:val="943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B165DC6" w14:textId="77777777" w:rsidR="004D7105" w:rsidRDefault="00F375EF">
            <w:pPr>
              <w:pStyle w:val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предварительного информирования граждан и юридических лиц о планируемой </w:t>
            </w:r>
            <w:r>
              <w:rPr>
                <w:sz w:val="23"/>
                <w:szCs w:val="23"/>
              </w:rPr>
              <w:t>хозяйственной и иной деятельности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4188026" w14:textId="77777777" w:rsidR="004D7105" w:rsidRDefault="00F375EF">
            <w:pPr>
              <w:jc w:val="center"/>
            </w:pPr>
            <w:r>
              <w:t>с 17.12.2024 по 27.12.2024</w:t>
            </w:r>
            <w:r>
              <w:rPr>
                <w:vertAlign w:val="superscript"/>
              </w:rPr>
              <w:t xml:space="preserve"> *1</w:t>
            </w:r>
          </w:p>
        </w:tc>
      </w:tr>
      <w:tr w:rsidR="004D7105" w14:paraId="29A0E91B" w14:textId="77777777">
        <w:trPr>
          <w:cantSplit/>
          <w:trHeight w:val="671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C552C3E" w14:textId="77777777" w:rsidR="004D7105" w:rsidRDefault="00F375EF">
            <w:pPr>
              <w:pStyle w:val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уведомления о планируемой хозяйственной и иной деятельности *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8EF6DB" w14:textId="77777777" w:rsidR="004D7105" w:rsidRDefault="00F375EF">
            <w:pPr>
              <w:jc w:val="center"/>
            </w:pPr>
            <w:r>
              <w:t xml:space="preserve">не требуется </w:t>
            </w:r>
            <w:r>
              <w:rPr>
                <w:vertAlign w:val="superscript"/>
              </w:rPr>
              <w:t>*2</w:t>
            </w:r>
          </w:p>
        </w:tc>
      </w:tr>
      <w:tr w:rsidR="004D7105" w14:paraId="6F411333" w14:textId="77777777">
        <w:trPr>
          <w:cantSplit/>
          <w:trHeight w:val="866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D1B7778" w14:textId="77777777" w:rsidR="004D7105" w:rsidRDefault="00F375EF">
            <w:pPr>
              <w:pStyle w:val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Направление уведомления о планируемой хозяйственной и иной деятельности и программы проведения ОВОС </w:t>
            </w:r>
            <w:r>
              <w:rPr>
                <w:sz w:val="23"/>
                <w:szCs w:val="23"/>
              </w:rPr>
              <w:t>затрагиваемым сторонам*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C2F516" w14:textId="77777777" w:rsidR="004D7105" w:rsidRDefault="00F375EF">
            <w:pPr>
              <w:jc w:val="center"/>
            </w:pPr>
            <w:r>
              <w:t xml:space="preserve">не требуется </w:t>
            </w:r>
            <w:r>
              <w:rPr>
                <w:vertAlign w:val="superscript"/>
              </w:rPr>
              <w:t>*2</w:t>
            </w:r>
          </w:p>
        </w:tc>
      </w:tr>
      <w:tr w:rsidR="004D7105" w14:paraId="063E50A4" w14:textId="77777777">
        <w:trPr>
          <w:cantSplit/>
          <w:trHeight w:val="396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E8A6CEF" w14:textId="77777777" w:rsidR="004D7105" w:rsidRDefault="00F375EF">
            <w:pPr>
              <w:pStyle w:val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отчета об ОВОС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F81EBC3" w14:textId="77777777" w:rsidR="004D7105" w:rsidRDefault="00F375EF">
            <w:pPr>
              <w:jc w:val="center"/>
            </w:pPr>
            <w:r>
              <w:t xml:space="preserve">с 21.10.2024 по 31.01.2025 г. </w:t>
            </w:r>
            <w:r>
              <w:rPr>
                <w:vertAlign w:val="superscript"/>
              </w:rPr>
              <w:t>*1</w:t>
            </w:r>
          </w:p>
        </w:tc>
      </w:tr>
      <w:tr w:rsidR="004D7105" w14:paraId="6A293A94" w14:textId="77777777">
        <w:trPr>
          <w:cantSplit/>
          <w:trHeight w:val="396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FA84AEB" w14:textId="77777777" w:rsidR="004D7105" w:rsidRDefault="00F375EF">
            <w:pPr>
              <w:pStyle w:val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Направление отчета об ОВОС затрагиваемым сторонам*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4EDAB6" w14:textId="77777777" w:rsidR="004D7105" w:rsidRDefault="00F375EF">
            <w:pPr>
              <w:jc w:val="center"/>
            </w:pPr>
            <w:r>
              <w:t xml:space="preserve">– </w:t>
            </w:r>
            <w:r>
              <w:rPr>
                <w:vertAlign w:val="superscript"/>
              </w:rPr>
              <w:t>*2</w:t>
            </w:r>
          </w:p>
        </w:tc>
      </w:tr>
      <w:tr w:rsidR="004D7105" w14:paraId="0C03C180" w14:textId="77777777">
        <w:trPr>
          <w:cantSplit/>
          <w:trHeight w:val="872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AB91E06" w14:textId="77777777" w:rsidR="004D7105" w:rsidRDefault="00F375EF">
            <w:pPr>
              <w:pStyle w:val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общественных обсуждений на территории:</w:t>
            </w:r>
          </w:p>
          <w:p w14:paraId="3AC1B95A" w14:textId="77777777" w:rsidR="004D7105" w:rsidRDefault="00F375EF">
            <w:pPr>
              <w:pStyle w:val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 Республики Беларусь;</w:t>
            </w:r>
          </w:p>
          <w:p w14:paraId="34F07E20" w14:textId="77777777" w:rsidR="004D7105" w:rsidRDefault="00F375EF">
            <w:pPr>
              <w:pStyle w:val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 затрагиваемых сторон*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9234F98" w14:textId="77777777" w:rsidR="004D7105" w:rsidRDefault="004D7105">
            <w:pPr>
              <w:jc w:val="center"/>
            </w:pPr>
          </w:p>
          <w:p w14:paraId="2AB13603" w14:textId="77777777" w:rsidR="004D7105" w:rsidRDefault="00F375EF">
            <w:pPr>
              <w:ind w:left="-83" w:right="-91"/>
              <w:jc w:val="center"/>
            </w:pPr>
            <w:r>
              <w:t xml:space="preserve">с февраля по март 2025 г. </w:t>
            </w:r>
            <w:r>
              <w:rPr>
                <w:vertAlign w:val="superscript"/>
              </w:rPr>
              <w:t>*1</w:t>
            </w:r>
          </w:p>
          <w:p w14:paraId="6B71E8FA" w14:textId="77777777" w:rsidR="004D7105" w:rsidRDefault="00F375EF">
            <w:pPr>
              <w:jc w:val="center"/>
            </w:pPr>
            <w:r>
              <w:t xml:space="preserve">не требуется </w:t>
            </w:r>
            <w:r>
              <w:rPr>
                <w:vertAlign w:val="superscript"/>
              </w:rPr>
              <w:t>*2</w:t>
            </w:r>
          </w:p>
        </w:tc>
      </w:tr>
      <w:tr w:rsidR="004D7105" w14:paraId="2644FD69" w14:textId="77777777">
        <w:trPr>
          <w:cantSplit/>
          <w:trHeight w:val="396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722F696" w14:textId="77777777" w:rsidR="004D7105" w:rsidRDefault="00F375EF">
            <w:pPr>
              <w:pStyle w:val="caaieiaie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консультации по замечаниям затрагиваемых сторон*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35A9CFA" w14:textId="77777777" w:rsidR="004D7105" w:rsidRDefault="00F375EF">
            <w:pPr>
              <w:jc w:val="center"/>
            </w:pPr>
            <w:r>
              <w:t xml:space="preserve">не требуется </w:t>
            </w:r>
            <w:r>
              <w:rPr>
                <w:vertAlign w:val="superscript"/>
              </w:rPr>
              <w:t>*2</w:t>
            </w:r>
          </w:p>
        </w:tc>
      </w:tr>
      <w:tr w:rsidR="004D7105" w14:paraId="2436FD83" w14:textId="77777777">
        <w:trPr>
          <w:cantSplit/>
          <w:trHeight w:val="396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FBA6FC6" w14:textId="77777777" w:rsidR="004D7105" w:rsidRDefault="00F375EF">
            <w:pPr>
              <w:pStyle w:val="caaieiaie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собрания по обсуждению отчета об ОВОС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E5ED578" w14:textId="77777777" w:rsidR="004D7105" w:rsidRDefault="00F375EF">
            <w:pPr>
              <w:jc w:val="center"/>
            </w:pPr>
            <w:r>
              <w:t>март 2025 г.</w:t>
            </w:r>
            <w:r>
              <w:rPr>
                <w:vertAlign w:val="superscript"/>
              </w:rPr>
              <w:t xml:space="preserve"> *3</w:t>
            </w:r>
          </w:p>
          <w:p w14:paraId="473054EE" w14:textId="77777777" w:rsidR="004D7105" w:rsidRDefault="00F375EF">
            <w:pPr>
              <w:jc w:val="center"/>
            </w:pPr>
            <w:r>
              <w:rPr>
                <w:sz w:val="20"/>
                <w:szCs w:val="20"/>
              </w:rPr>
              <w:t xml:space="preserve">(собрание может быть назначено не ранее чем через 25 календарных </w:t>
            </w:r>
            <w:r>
              <w:rPr>
                <w:sz w:val="20"/>
                <w:szCs w:val="20"/>
              </w:rPr>
              <w:t>дней с даты начала общественных обсуждений и не позднее дня их завершения)</w:t>
            </w:r>
          </w:p>
        </w:tc>
      </w:tr>
      <w:tr w:rsidR="004D7105" w14:paraId="22466FFC" w14:textId="77777777">
        <w:trPr>
          <w:cantSplit/>
          <w:trHeight w:val="396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A85644" w14:textId="77777777" w:rsidR="004D7105" w:rsidRDefault="00F375EF">
            <w:pPr>
              <w:pStyle w:val="caaieiaie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Доработка отчета об ОВОС по замечаниям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025A14" w14:textId="77777777" w:rsidR="004D7105" w:rsidRDefault="00F375EF">
            <w:pPr>
              <w:jc w:val="center"/>
            </w:pPr>
            <w:r>
              <w:t>март 2025 г.</w:t>
            </w:r>
            <w:r>
              <w:rPr>
                <w:vertAlign w:val="superscript"/>
              </w:rPr>
              <w:t xml:space="preserve"> *4</w:t>
            </w:r>
          </w:p>
        </w:tc>
      </w:tr>
      <w:tr w:rsidR="004D7105" w14:paraId="5F92A1BA" w14:textId="77777777">
        <w:trPr>
          <w:cantSplit/>
          <w:trHeight w:val="925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342CB4D" w14:textId="77777777" w:rsidR="004D7105" w:rsidRDefault="00F375EF">
            <w:pPr>
              <w:pStyle w:val="caaieiaie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отчета об ОВОС в составе предпроектной (предынвестиционной), проектной документации на государственную экологи</w:t>
            </w:r>
            <w:r>
              <w:rPr>
                <w:sz w:val="23"/>
                <w:szCs w:val="23"/>
              </w:rPr>
              <w:t>ческую экспертизу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7DF7A7" w14:textId="77777777" w:rsidR="004D7105" w:rsidRDefault="00F375EF">
            <w:pPr>
              <w:jc w:val="center"/>
            </w:pPr>
            <w:r>
              <w:t>с марта по апрель 2025</w:t>
            </w:r>
            <w:r>
              <w:rPr>
                <w:vertAlign w:val="superscript"/>
              </w:rPr>
              <w:t xml:space="preserve"> *1</w:t>
            </w:r>
          </w:p>
        </w:tc>
      </w:tr>
      <w:tr w:rsidR="004D7105" w14:paraId="51DCD267" w14:textId="77777777">
        <w:trPr>
          <w:cantSplit/>
          <w:trHeight w:val="396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753482C" w14:textId="77777777" w:rsidR="004D7105" w:rsidRDefault="00F375EF">
            <w:pPr>
              <w:pStyle w:val="caaieiaie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Принятие решения в отношении планируемой деятельности</w:t>
            </w:r>
          </w:p>
        </w:tc>
        <w:tc>
          <w:tcPr>
            <w:tcW w:w="4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046D2A" w14:textId="77777777" w:rsidR="004D7105" w:rsidRDefault="00F375EF">
            <w:pPr>
              <w:jc w:val="center"/>
            </w:pPr>
            <w:r>
              <w:t>с апреля по май 2025 г.</w:t>
            </w:r>
            <w:bookmarkStart w:id="1" w:name="_Hlk97028278"/>
            <w:bookmarkEnd w:id="1"/>
            <w:r>
              <w:rPr>
                <w:vertAlign w:val="superscript"/>
              </w:rPr>
              <w:t xml:space="preserve"> *1</w:t>
            </w:r>
          </w:p>
        </w:tc>
      </w:tr>
    </w:tbl>
    <w:p w14:paraId="1F8093DC" w14:textId="77777777" w:rsidR="004D7105" w:rsidRDefault="004D7105">
      <w:pPr>
        <w:jc w:val="both"/>
        <w:rPr>
          <w:sz w:val="8"/>
          <w:szCs w:val="8"/>
        </w:rPr>
      </w:pPr>
    </w:p>
    <w:p w14:paraId="22B51B9E" w14:textId="77777777" w:rsidR="004D7105" w:rsidRDefault="00F375EF">
      <w:pPr>
        <w:rPr>
          <w:sz w:val="22"/>
          <w:szCs w:val="22"/>
        </w:rPr>
      </w:pPr>
      <w:r>
        <w:rPr>
          <w:sz w:val="22"/>
          <w:szCs w:val="22"/>
        </w:rPr>
        <w:t>*1 – срок выполнения работ может быть изменен;</w:t>
      </w:r>
    </w:p>
    <w:p w14:paraId="18F134D2" w14:textId="77777777" w:rsidR="004D7105" w:rsidRDefault="00F375EF">
      <w:pPr>
        <w:rPr>
          <w:sz w:val="22"/>
          <w:szCs w:val="22"/>
        </w:rPr>
      </w:pPr>
      <w:r>
        <w:rPr>
          <w:sz w:val="22"/>
          <w:szCs w:val="22"/>
        </w:rPr>
        <w:t xml:space="preserve">*2 – заполняется в случае, если планируемая хозяйственная и иная деятельность </w:t>
      </w:r>
      <w:r>
        <w:rPr>
          <w:sz w:val="22"/>
          <w:szCs w:val="22"/>
        </w:rPr>
        <w:t>может оказывать трансграничное воздействие;</w:t>
      </w:r>
    </w:p>
    <w:p w14:paraId="78842D82" w14:textId="77777777" w:rsidR="004D7105" w:rsidRDefault="00F375EF">
      <w:pPr>
        <w:rPr>
          <w:sz w:val="22"/>
          <w:szCs w:val="22"/>
        </w:rPr>
      </w:pPr>
      <w:r>
        <w:rPr>
          <w:sz w:val="22"/>
          <w:szCs w:val="22"/>
        </w:rPr>
        <w:t>*3 – будет осуществлено в случае обращения общественности о необходимости проведения собрания, срок выполнения работ может быть изменен;</w:t>
      </w:r>
    </w:p>
    <w:p w14:paraId="01D2D089" w14:textId="77777777" w:rsidR="004D7105" w:rsidRDefault="00F375EF">
      <w:pPr>
        <w:rPr>
          <w:sz w:val="22"/>
          <w:szCs w:val="22"/>
        </w:rPr>
      </w:pPr>
      <w:bookmarkStart w:id="2" w:name="_Hlk97028286"/>
      <w:r>
        <w:rPr>
          <w:sz w:val="22"/>
          <w:szCs w:val="22"/>
        </w:rPr>
        <w:t xml:space="preserve">*4 </w:t>
      </w:r>
      <w:r>
        <w:rPr>
          <w:sz w:val="22"/>
          <w:szCs w:val="22"/>
        </w:rPr>
        <w:noBreakHyphen/>
        <w:t xml:space="preserve"> будет осуществлена в случае необходимости</w:t>
      </w:r>
      <w:bookmarkEnd w:id="2"/>
      <w:r>
        <w:rPr>
          <w:sz w:val="22"/>
          <w:szCs w:val="22"/>
        </w:rPr>
        <w:t>, срок выполнения работ может</w:t>
      </w:r>
      <w:r>
        <w:rPr>
          <w:sz w:val="22"/>
          <w:szCs w:val="22"/>
        </w:rPr>
        <w:t xml:space="preserve"> быть изменен.</w:t>
      </w:r>
    </w:p>
    <w:p w14:paraId="0F96D870" w14:textId="77777777" w:rsidR="004D7105" w:rsidRDefault="004D7105">
      <w:pPr>
        <w:jc w:val="center"/>
        <w:rPr>
          <w:b/>
          <w:bCs/>
        </w:rPr>
      </w:pPr>
    </w:p>
    <w:p w14:paraId="28F9EACD" w14:textId="77777777" w:rsidR="004D7105" w:rsidRDefault="00F375EF">
      <w:pPr>
        <w:jc w:val="center"/>
        <w:rPr>
          <w:b/>
          <w:bCs/>
        </w:rPr>
      </w:pPr>
      <w:r>
        <w:rPr>
          <w:b/>
          <w:bCs/>
        </w:rPr>
        <w:t xml:space="preserve">Сведения о планируемой деятельности </w:t>
      </w:r>
    </w:p>
    <w:p w14:paraId="16B1881A" w14:textId="77777777" w:rsidR="004D7105" w:rsidRDefault="00F375EF">
      <w:pPr>
        <w:spacing w:after="80"/>
        <w:jc w:val="center"/>
        <w:rPr>
          <w:b/>
          <w:bCs/>
        </w:rPr>
      </w:pPr>
      <w:r>
        <w:rPr>
          <w:b/>
          <w:bCs/>
        </w:rPr>
        <w:t>и альтернативные варианты ее размещения и (или) реализации</w:t>
      </w:r>
    </w:p>
    <w:p w14:paraId="33BF07D1" w14:textId="77777777" w:rsidR="004D7105" w:rsidRDefault="00F375EF">
      <w:pPr>
        <w:ind w:firstLine="709"/>
        <w:jc w:val="both"/>
        <w:rPr>
          <w:rFonts w:ascii="Times New Roman CYR" w:hAnsi="Times New Roman CYR" w:cs="Times New Roman CYR"/>
        </w:rPr>
      </w:pPr>
      <w:r>
        <w:rPr>
          <w:spacing w:val="2"/>
        </w:rPr>
        <w:t>Заказчиком деятельности является УП «</w:t>
      </w:r>
      <w:r>
        <w:rPr>
          <w:rFonts w:eastAsiaTheme="minorHAnsi"/>
          <w:lang w:eastAsia="en-US"/>
        </w:rPr>
        <w:t>Витебскоблгаз»</w:t>
      </w:r>
      <w:r>
        <w:rPr>
          <w:rFonts w:ascii="Times New Roman CYR" w:hAnsi="Times New Roman CYR" w:cs="Times New Roman CYR"/>
        </w:rPr>
        <w:t xml:space="preserve">, расположенное по адресу 210029, г. Витебск, ул. Правды, д. 36. Осуществлять добычу торфа </w:t>
      </w:r>
      <w:r>
        <w:rPr>
          <w:rFonts w:ascii="Times New Roman CYR" w:hAnsi="Times New Roman CYR" w:cs="Times New Roman CYR"/>
        </w:rPr>
        <w:t>будет филиал «Витебское производственное управление по добыче и переработке торфа» (ПУ «Витебскторф») – 211716, Докшицкий район, аг. Крулевщина, ул. Заводская, д. 37.</w:t>
      </w:r>
    </w:p>
    <w:p w14:paraId="429BA382" w14:textId="77777777" w:rsidR="004D7105" w:rsidRDefault="00F375EF">
      <w:pPr>
        <w:pStyle w:val="ad"/>
        <w:spacing w:line="240" w:lineRule="auto"/>
      </w:pPr>
      <w:r>
        <w:t xml:space="preserve">Планируемая деятельность реализуется с целью обеспечения организации сырьевыми ресурсами </w:t>
      </w:r>
      <w:r>
        <w:t xml:space="preserve">и последующего выполнения плановых показателей по добыче фрезерного торфа </w:t>
      </w:r>
      <w:r>
        <w:lastRenderedPageBreak/>
        <w:t>согласно программе комплексной модернизации торфяных производств на 2021–2025 гг.</w:t>
      </w:r>
    </w:p>
    <w:p w14:paraId="67DC901C" w14:textId="77777777" w:rsidR="004D7105" w:rsidRDefault="00F375EF">
      <w:pPr>
        <w:pStyle w:val="ad"/>
        <w:spacing w:line="240" w:lineRule="auto"/>
      </w:pPr>
      <w:r>
        <w:rPr>
          <w:szCs w:val="24"/>
        </w:rPr>
        <w:t>Планируемая деятельность заключается в разработке участков 3 и 4 месторождения торфа «Сидень», предо</w:t>
      </w:r>
      <w:r>
        <w:rPr>
          <w:szCs w:val="24"/>
        </w:rPr>
        <w:t xml:space="preserve">ставленных в 2014 г. </w:t>
      </w:r>
      <w:r>
        <w:t>УП «</w:t>
      </w:r>
      <w:r>
        <w:rPr>
          <w:rFonts w:eastAsiaTheme="minorHAnsi"/>
          <w:lang w:eastAsia="en-US"/>
        </w:rPr>
        <w:t>Витебскоблгаз» для добычи торфа.</w:t>
      </w:r>
    </w:p>
    <w:p w14:paraId="139172DE" w14:textId="77777777" w:rsidR="004D7105" w:rsidRDefault="00F375EF">
      <w:pPr>
        <w:pStyle w:val="ad"/>
        <w:spacing w:line="240" w:lineRule="auto"/>
      </w:pPr>
      <w:r>
        <w:t xml:space="preserve">Проектными решениями предусматривается строительство полей добычи торфа, а также устройство сооружений, обеспечивающих добычу торфа в соответствие с СТП 03.59-2021 «Добыча торфа фрезерным способом» </w:t>
      </w:r>
      <w:r>
        <w:t>и действующими «Правилами технической эксплуатации торфопредприятий».</w:t>
      </w:r>
    </w:p>
    <w:p w14:paraId="4DF06951" w14:textId="77777777" w:rsidR="004D7105" w:rsidRDefault="00F375EF">
      <w:pPr>
        <w:pStyle w:val="ad"/>
        <w:spacing w:line="240" w:lineRule="auto"/>
      </w:pPr>
      <w:r>
        <w:t>Добыча полезного ископаемого – торфа – будет осуществляться открытым послойно-поверхностным (фрезерным) способом, который применяется на существующих торфополях.</w:t>
      </w:r>
    </w:p>
    <w:p w14:paraId="1B052AE2" w14:textId="77777777" w:rsidR="004D7105" w:rsidRDefault="00F375EF">
      <w:pPr>
        <w:pStyle w:val="ad"/>
        <w:spacing w:line="240" w:lineRule="auto"/>
      </w:pPr>
      <w:r>
        <w:t>В качестве альтернативно</w:t>
      </w:r>
      <w:r>
        <w:t xml:space="preserve">го варианта проектных решений предложена «нулевая» альтернатива – отказ от реализации планируемой хозяйственной деятельности. </w:t>
      </w:r>
      <w:r>
        <w:rPr>
          <w:lang w:val="be-BY"/>
        </w:rPr>
        <w:t>Данный</w:t>
      </w:r>
      <w:r>
        <w:t xml:space="preserve"> вариант позволит сохранить природную среду в современном состоянии – земли, покрытые древесно-кустарниковой растительностью</w:t>
      </w:r>
      <w:r>
        <w:t>, частично осушенные в рамках реализации предыдущего проекта, однако заказчик деятельности останется без сырьевых ресурсов. С учетом отнесения рассматриваемой территории к разрабатываемому фонду (по кадастровому справочнику торфяного фонда издания 1979 год</w:t>
      </w:r>
      <w:r>
        <w:t>а числится под № 390 по Витебской области), осуществление планируемой деятельности, несущей социальные выгоды, выбрано как приоритетный вариант. В связи с этим «нулевая» альтернатива не является приоритетной.</w:t>
      </w:r>
    </w:p>
    <w:p w14:paraId="304AED81" w14:textId="64A815B6" w:rsidR="004D7105" w:rsidRDefault="00F375EF">
      <w:pPr>
        <w:pStyle w:val="ad"/>
        <w:spacing w:line="240" w:lineRule="auto"/>
      </w:pPr>
      <w:r>
        <w:rPr>
          <w:szCs w:val="24"/>
        </w:rPr>
        <w:t>Реализацию деятельности планируется осуществить</w:t>
      </w:r>
      <w:r>
        <w:rPr>
          <w:szCs w:val="24"/>
        </w:rPr>
        <w:t xml:space="preserve"> в западной части Шумилинского района, на территории </w:t>
      </w:r>
      <w:r>
        <w:rPr>
          <w:spacing w:val="2"/>
          <w:szCs w:val="24"/>
        </w:rPr>
        <w:t>Обольского сельского совета. Ближайшими населенными пунктами являются д. Купнино, расположенная в 2,4 км северо-восточнее от границ участка, д. Горовые-2 – в 2,7 км северо-восточнее, д. Шаши – в 3,2 км ю</w:t>
      </w:r>
      <w:r>
        <w:rPr>
          <w:spacing w:val="2"/>
          <w:szCs w:val="24"/>
        </w:rPr>
        <w:t xml:space="preserve">го-восточнее. Участки планируемой деятельности расположены на землях УП «Витебскоблгаз», примыкают к действующим полям добычи торфа, </w:t>
      </w:r>
      <w:r>
        <w:rPr>
          <w:spacing w:val="2"/>
        </w:rPr>
        <w:t xml:space="preserve">с которыми </w:t>
      </w:r>
      <w:r>
        <w:t xml:space="preserve">связаны технологически, что не позволяет реализовать деятельность на другой территории. Поэтому территориальная </w:t>
      </w:r>
      <w:r>
        <w:t>альтернатива реализации проектных решений не рассматривается.</w:t>
      </w:r>
    </w:p>
    <w:p w14:paraId="458639B1" w14:textId="77777777" w:rsidR="004D7105" w:rsidRDefault="004D7105">
      <w:pPr>
        <w:pStyle w:val="ad"/>
        <w:spacing w:line="240" w:lineRule="auto"/>
      </w:pPr>
    </w:p>
    <w:sectPr w:rsidR="004D7105">
      <w:pgSz w:w="11906" w:h="16838"/>
      <w:pgMar w:top="851" w:right="566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05"/>
    <w:rsid w:val="00086604"/>
    <w:rsid w:val="000F790A"/>
    <w:rsid w:val="0043652F"/>
    <w:rsid w:val="0046197C"/>
    <w:rsid w:val="004D7105"/>
    <w:rsid w:val="0055246C"/>
    <w:rsid w:val="00D63027"/>
    <w:rsid w:val="00E319C1"/>
    <w:rsid w:val="00F3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F2A6"/>
  <w15:docId w15:val="{E7F4C211-D929-42B5-9938-F48ADB38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qFormat/>
    <w:rsid w:val="00C06E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uiPriority w:val="34"/>
    <w:qFormat/>
    <w:locked/>
    <w:rsid w:val="00C06E87"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qFormat/>
    <w:rsid w:val="00192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F74062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740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F740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customStyle="1" w:styleId="caaieiaie7">
    <w:name w:val="caaieiaie 7"/>
    <w:basedOn w:val="a"/>
    <w:qFormat/>
    <w:rsid w:val="009733A2"/>
    <w:pPr>
      <w:keepNext/>
      <w:jc w:val="both"/>
    </w:pPr>
    <w:rPr>
      <w:szCs w:val="20"/>
    </w:rPr>
  </w:style>
  <w:style w:type="paragraph" w:customStyle="1" w:styleId="1">
    <w:name w:val="Обычный1"/>
    <w:qFormat/>
    <w:rsid w:val="009733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БелНИЦ"/>
    <w:qFormat/>
    <w:rsid w:val="00460FDB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20">
    <w:name w:val="Body Text Indent 2"/>
    <w:basedOn w:val="a"/>
    <w:qFormat/>
    <w:rsid w:val="00C06E87"/>
    <w:pPr>
      <w:spacing w:after="120" w:line="480" w:lineRule="auto"/>
      <w:ind w:left="283"/>
    </w:pPr>
  </w:style>
  <w:style w:type="paragraph" w:styleId="ae">
    <w:name w:val="List Paragraph"/>
    <w:basedOn w:val="a"/>
    <w:uiPriority w:val="34"/>
    <w:qFormat/>
    <w:rsid w:val="00C06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rsid w:val="001926D4"/>
    <w:pPr>
      <w:tabs>
        <w:tab w:val="center" w:pos="4677"/>
        <w:tab w:val="right" w:pos="9355"/>
      </w:tabs>
    </w:pPr>
  </w:style>
  <w:style w:type="paragraph" w:styleId="af0">
    <w:name w:val="annotation text"/>
    <w:basedOn w:val="a"/>
    <w:uiPriority w:val="99"/>
    <w:semiHidden/>
    <w:unhideWhenUsed/>
    <w:qFormat/>
    <w:rsid w:val="00F74062"/>
    <w:rPr>
      <w:sz w:val="20"/>
      <w:szCs w:val="20"/>
    </w:rPr>
  </w:style>
  <w:style w:type="paragraph" w:styleId="af1">
    <w:name w:val="annotation subject"/>
    <w:basedOn w:val="af0"/>
    <w:uiPriority w:val="99"/>
    <w:semiHidden/>
    <w:unhideWhenUsed/>
    <w:qFormat/>
    <w:rsid w:val="00F74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Ecoland</dc:creator>
  <dc:description/>
  <cp:lastModifiedBy>User</cp:lastModifiedBy>
  <cp:revision>4</cp:revision>
  <cp:lastPrinted>2024-12-12T12:24:00Z</cp:lastPrinted>
  <dcterms:created xsi:type="dcterms:W3CDTF">2025-01-08T13:06:00Z</dcterms:created>
  <dcterms:modified xsi:type="dcterms:W3CDTF">2025-01-08T12:49:00Z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